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689</w:t>
      </w:r>
    </w:p>
    <w:p>
      <w:r>
        <w:t>Bundesgericht (BGE), 2011-01-26, DE</w:t>
      </w:r>
    </w:p>
    <w:p>
      <w:r>
        <w:rPr>
          <w:b/>
        </w:rPr>
        <w:t xml:space="preserve">Quelle: </w:t>
      </w:r>
      <w:r>
        <w:t>https://mcp.opencaselaw.ch/entscheid/bge_138 III 689</w:t>
      </w:r>
    </w:p>
    <w:p>
      <w:r>
        <w:t>FR: ATF 138 III 689</w:t>
      </w:r>
    </w:p>
    <w:p>
      <w:r>
        <w:t>IT: DTF 138 III 689</w:t>
      </w:r>
    </w:p>
    <w:p>
      <w:pPr>
        <w:pStyle w:val="Heading2"/>
      </w:pPr>
      <w:r>
        <w:t>Regeste</w:t>
      </w:r>
    </w:p>
    <w:p>
      <w:r>
        <w:t>Regeste Art. 208 Abs. 1 Ziff. 1 ZGB; Hinzurechnung zur Errungenschaft; unentgeltliche Zuwendung und Erfüllung einer sittlichen Pflicht. Begriff der unentgeltlichen Zuwendung und Prüfung, ob Unterhaltszahlungen an die Mutter des nichtehelichen Kindes der Hinzurechnung unterliegen (E. 3).</w:t>
      </w:r>
    </w:p>
    <w:p>
      <w:pPr>
        <w:pStyle w:val="Heading2"/>
      </w:pPr>
      <w:r>
        <w:t>Erwägungen</w:t>
      </w:r>
    </w:p>
    <w:p>
      <w:r>
        <w:rPr>
          <w:b/>
        </w:rPr>
        <w:t>E. 3</w:t>
      </w:r>
    </w:p>
    <w:p>
      <w:r>
        <w:t>Anlass zur vorliegenden Beschwerde gibt die güterrechtliche Auseinandersetzung zwischen den Parteien, welche dem ordentlichen Güterstand der Errungenschaftsbeteiligung unterstanden. Es steht fest, dass der Beschwerdeführer (neben dem Kindesunterhalt) von Juli 2005 bis November 2007 monatliche Zahlungen von Fr. 4'000.- an B., die Mutter des von ihm anerkannten Kindes, geleistet hat. Einziger Streitpunkt ist die Hinzurechnung von insgesamt Fr. 116'000.- zur Errungenschaft des Beschwerdeführers, welche das Obergericht im Umfang der Geldzahlungen an die Mutter seines nichtehelichen Kindes vorgenommen hat.</w:t>
      </w:r>
    </w:p>
    <w:p>
      <w:r>
        <w:rPr>
          <w:b/>
        </w:rPr>
        <w:t>E. 3.1</w:t>
      </w:r>
    </w:p>
    <w:p>
      <w:r>
        <w:t>Der Beschwerdeführer macht geltend, die Geldzahlungen seien entgegen der Auffassung des Obergerichts keine "unentgeltlichen Zuwendungen" im Sinne von Art. 208 Abs. 1 Ziff. 1 ZGB , weshalb die Hinzurechnung zu seiner Errungenschaft eine Rechtsverletzung darstelle. Sein überschüssiges Einkommen könne er rechtmässig verbrauchen, was er im Interesse seines nichtehelichen Kindes BGE 138 III 689 S. 691 getan habe, indem er diesem durch die Geldzahlungen an die Mutter eine gute mütterliche Fürsorge und Betreuung sichergestellt habe.Die Zahlungen an die Mutter des Kindes habe er gestützt auf eineverantwortungsvolle, soziale Entscheidung als sittliche Pflicht erfüllt.</w:t>
      </w:r>
    </w:p>
    <w:p>
      <w:r>
        <w:rPr>
          <w:b/>
        </w:rPr>
        <w:t>E. 3.2</w:t>
      </w:r>
    </w:p>
    <w:p>
      <w:r>
        <w:t>Gemäss Art. 208 Abs. 1 ZGB werden zur Errungenschaft hinzugerechnet: die unentgeltlichen Zuwendungen, die ein Ehegatte während der letzten fünf Jahre vor Auflösung des Güterstandes ohne Zustimmung des anderen Ehegatten gemacht hat, ausgenommen die üblichen Gelegenheitsgeschenke (Ziff. 1), sowie Vermögensentäusserungen, die ein Ehegatte während der Dauer des Güterstandes vorgenommen hat, um den Beteiligungsanspruch des andern zu schmälern (Ziff. 2). Zweck der Bestimmung ist, die Anwartschaft des Ehegatten auf Beteiligung am Vorschlag des anderen zu schützen (HAUSHEER/REUSSER/GEISER, Berner Kommentar, 1992, N. 5 zu Art. 208 ZGB ). Der Beschwerdeführer hält demgegenüber im Wesentlichen fest, dass er nicht verpflichtet gewesen sei, Errungenschaft zu bilden, zumal er seine Pflicht, Unterhalt an die Ehefrau und das gemeinsame Kind zu leisten, nicht verletzt habe und daher in guten Treuen auf das Einverständnis der Beschwerdegegnerin zu den Geldzahlungen habe schliessen dürfen. Damit und mit seinem Vorbringen, die Geltendmachung des Hinzurechnungsanspruchs komme einer "doppelten Alimentierung" der Beschwerdegegnerin gleich und sei rechtsmissbräuchlich, geht er fehl. Der Beschwerdeführer verkennt, dass die grundsätzliche Dispositionsfreiheit der Ehegatten gemäss Art. 201 Abs. 1 ZGB nur innerhalb der gesetzlichen Schranken gilt ( BGE 118 II 27 E. 4b S. 30 f.) und das Gesetz gewisse illoyale Vermögensverminderungen sanktioniert (HUWILER, Beiträge zur Dogmatik des neuen ordentlichen Güterstandes der Errungenschaftsbeteiligung, in: Das neue Ehe- und Erbrecht [...], 1988, S. 98). Das Obergericht hat verneint, dass eine Vermögensentäusserung mit Schmälerungsabsicht im Sinne von Ziff. 2 von Art. 208 Abs. 1 ZGB vorliege. In Frage kommt daher nur eine Hinzurechnung gemäss Ziff. 1.</w:t>
      </w:r>
    </w:p>
    <w:p>
      <w:r>
        <w:rPr>
          <w:b/>
        </w:rPr>
        <w:t>E. 3.3</w:t>
      </w:r>
    </w:p>
    <w:p>
      <w:r>
        <w:t>Unter einer unentgeltlichen Zuwendung (libéralité, liberalità) im Sinne von Art. 208 Abs. 1 Ziff. 1 ZGB sind alle Arten von Vermögensentäusserungen ohne Gegenleistung zu verstehen, welche die Errungenschaft vermindert oder deren Zunahme verhindert haben (STEINAUER, in: Commentaire romand, Code civil, Bd. I, 2010, N. 11 zu Art. 208 ZGB ; vgl. Botschaft vom 11. Juli 1979 über die Änderung des ZGB [Wirkungen der Ehe im allgemeinen, Ehegüterrecht und BGE 138 III 689 S. 692 Erbrecht], BBl 1979 II 1191, 1317 Ziff. 222.532; Urteil 5C.111/2002 vom 26. August 2002 E. 2.1.3, in: FamPra.ch 2003 S. 388). Das Obergericht hat die Geldzahlungen des Beschwerdeführers als unentgeltliche Zuwendung erfasst und die Erfüllung einer sittlichen Pflicht verneint.</w:t>
      </w:r>
    </w:p>
    <w:p>
      <w:r>
        <w:rPr>
          <w:b/>
        </w:rPr>
        <w:t>E. 3.3.1</w:t>
      </w:r>
    </w:p>
    <w:p>
      <w:r>
        <w:t>Laut der Botschaft (a.a.O.) fallen unter die unentgeltlichen Zuwendungen auch "Leistungen aufgrund einer moralischen Verpflichtung". Nach der Lehre soll der Begriff "unentgeltliche Zuwendungen" möglichst gleich wie in Art. 527 Ziff. 1 ZGB ausgelegt werden (HAUSHEER/REUSSER/GEISER, a.a.O., N. 20 zu Art. 208 ZGB ; DESCHENAUX/STEINAUER/BADDELEY, Les effets du mariage, 2. Aufl. 2009, Rz. 1319 S. 604). Die Erfüllung einer sittlichen Pflicht unterliegt nach der Rechtsprechung der Herabsetzung gestützt auf Art. 527 ff. ZGB ( BGE 116 II 243 E. 4a und b S. 245; BGE 102 II 313 E. 4c S. 325 f.), weshalb die analoge Anwendung auf Art. 208 ZGB befürwortet wird (DESCHENAUX/STEINAUER/BADDELEY, a.a.O., Rz. 1320 und Fn. 38 S. 604). Nach einem Teil der Lehre vermag eine bloss systematische Überlegung nicht zu begründen, warum das Recht eines Ehegatten beschränkt werden soll, eine sittliche Verpflichtung zu erfüllen. Eine Handlung soll demnach von der Herabsetzung ausgenommen werden, wenn ihr Unterlassen als unsittlich angesehen werden müsste, nicht jedoch, wenn die Vornahme moralisch bloss vertretbar erscheine (HAUSHEER/REUSSER/GEISER, a.a.O., N. 22 a.E. zu Art. 208 ZGB ). Inwieweit allgemein die Erfüllung einer sittlichen Pflicht von Art. 208 ZGB erfasst ist, kann mit Blick auf die konkret in Frage stehenden Zahlungen des Beschwerdeführers - wie sich aus dem Folgenden ergibt - offengelassen werden.</w:t>
      </w:r>
    </w:p>
    <w:p>
      <w:r>
        <w:rPr>
          <w:b/>
        </w:rPr>
        <w:t>E. 3.3.2</w:t>
      </w:r>
    </w:p>
    <w:p>
      <w:r>
        <w:t>Das Gesetz gewährt der Mutter eines nichtehelichen Kindes lediglich einen Anspruch für die "Kosten des Unterhalts" für eine beschränkte Zeit vor und nach der Geburt ( Art. 295 Abs. 1 Ziff. 2 ZGB ), welcher als eine Art Entschädigung verstanden wird (BREITSCHMID, in: Basler Kommentar, Zivilgesetzbuch, Bd. I, 4. Aufl. 2010, N. 1 zu Art. 295 ZGB ; MEIER/STETTLER, Droit de filiation, 4. Aufl. 2009, Rz. 1111 S. 640 f. mit Hinweisen). Der Anspruch gemäss Art. 295 ZGB bedeutet jedoch keinen Anspruch auf Unterhalt für die Betreuung, welcher de lege lata nicht besteht (im Gegensatz zum deutschen Recht, vgl. § 1651 l Abs. 2 BGB; vgl. RUMO-JUNGO, Betreuungsunterhalt bei getrennt lebenden nicht verheirateten Eltern - ein Denkanstoss, recht 26/2008 S. 31 ff.). Der Bundesrat hat auch kürzlich keinen hinreichenden Grund gesehen, um einen BGE 138 III 689 S. 693 status un abhängigen Betreuungsunterhalt vorzuschlagen (Botschaft vom 16. November 2011 zur Änderung des ZGB [Elterliche Sorge], BBl 20119077, 9096 Ziff. 1.5.5.2). Der Anspruch auf Betreuungsunterhalt kann sich jedoch auf einen Vertrag mit dem Vater stützen (MEIER/STETTLER, a.a.O.). Vereinbarungen ausserhalb der gesetzlichen Unterhaltspflicht erscheinen grundsätzlich als Schenkungsversprechen ( Art. 239 OR ) oder als Versprechen der Erfüllung einer sittlichen Pflicht (vgl. HAUSHEER/SPYCHER, in: Handbuch des Unterhaltsrechts, 2. Aufl. 2010, Rz. 06.201 S. 473; HEGNAUER, Grundriss des Kindesrechts, 5. Aufl. 1999, Rz. 21.24 S. 162).</w:t>
      </w:r>
    </w:p>
    <w:p>
      <w:r>
        <w:rPr>
          <w:b/>
        </w:rPr>
        <w:t>E. 3.3.3</w:t>
      </w:r>
    </w:p>
    <w:p>
      <w:r>
        <w:t>Der Beschwerdeführer und B. haben offenbar am 27. Juni 2005 eine schriftliche Vereinbarung betreffend Unterhalt getroffen. Darin kann jedoch nicht das Versprechen der Erfüllung einer sittlichen Pflicht erblickt werden. Zu Recht hat das Obergericht erwogen, dass dem Beschwerdeführer kein unsittliches Verhalten vorzuwerfen gewesen wäre, wenn er keine Zahlungen an B. für die Betreuung des über 5-jährigen Kindes geleistet hätte, während er gleichzeitig mit der Beschwerdegegnerin im ordentlichen Güterstand lebte. Dass der Beschwerdeführer aufgrund der tatsächlichen konkreten Erziehungslasten (vgl. BGE 137 III 102 E. 4.2.2.2 S. 109, betreffend Nachscheidungssituation) oder aufgrund eines Konkubinatsverhältnisses (vgl. Urteil der Cour de Cassation Civile/NE vom 25. April 1979 E. 3, in: Recueil de jurisprudence neuchâteloise [RJN] 1979 S. 269) sittlich verpflichtet gewesen wäre, B. zu unterstützen, lässt sich dem angefochtenen Urteil nicht entnehmen bzw. hat die Vorinstanz verneint, was nicht in Frage gestellt wird. Insoweit ist nicht zu beanstanden, wenn das Obergericht zum Schluss gelangt ist, dass die Geldzahlungen des Beschwerdeführers an die Mutter seines nichtehelichen Kindes als "Zuwendung" gemäss Art. 208 Abs. 1 Ziff. 1 ZGB gelten.</w:t>
      </w:r>
    </w:p>
    <w:p>
      <w:r>
        <w:rPr>
          <w:b/>
        </w:rPr>
        <w:t>E. 3.4</w:t>
      </w:r>
    </w:p>
    <w:p>
      <w:r>
        <w:t>Was der Beschwerdeführer weiter vorbringt, vermag an diesem Ergebnis nichts zu ändern. Entgegen seiner Darstellung konnte er nicht ein Einverständnis der Beschwerdegegnerin zu den erwähnten Geldzahlungen annehmen. Aus dem angefochtenen Urteil gehen in tatsächlicher Hinsicht keine Anhaltspunkte hervor, welche auf das Vorliegen einer sich aus den Umständen ergebenden Zustimmung der Beschwerdegegnerin schliessen lassen (vgl. HAUSHEER/REUSSER/GEISER, a.a.O., N. 33 zu Art. 208 ZGB ). Die Geldzahlungen des Beschwerdeführers fallen sodann unbestrittenermassen nicht unter "übliche Gelegenheitsgeschenke", und sie wurden innerhalb der letzten BGE 138 III 689 S. 694 fünf Jahre vor dem 3. Dezember 2007 (Einreichung des Scheidungsbegehrens), d.h. dem für die Auflösung des Güterstandes massgebenden Zeitpunkt ( Art. 204 Abs. 2 ZGB ), vorgenommen. Wenn das Obergericht die Geldzahlungen im Umfang von Fr. 116'000.- an B. gestützt auf Art. 208 Abs. 1 Ziff. 1 ZGB zur Errungenschaft des Beschwerdeführers hinzugerechnet hat, stellt dies keine Verletzung von Bundesrecht dar. Somit bleibt es bei der im angefochtenen Urteil angeordneten güterrechtlichen Nebenfolge.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